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Зарегистрировано в Минюсте России 20 августа 2014 г. N 33693</w:t>
      </w:r>
    </w:p>
    <w:p w:rsidR="00F839F7" w:rsidRPr="00F839F7" w:rsidRDefault="00F839F7" w:rsidP="00F839F7">
      <w:pPr>
        <w:spacing w:before="82" w:after="8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999" stroked="f"/>
        </w:pic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МИНИСТЕРСТВО ОБРАЗОВАНИЯ И НАУКИ РОССИЙСКОЙ ФЕДЕРАЦИИ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ПРИКАЗ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от 30 июля 2014 г. N 885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ОБ УТВЕРЖДЕНИИ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ФЕДЕРАЛЬНОГО ГОСУДАРСТВЕННОГО ОБРАЗОВАТЕЛЬНОГО СТАНДАРТА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 ПО НАПРАВЛЕНИЮ ПОДГОТОВКИ 20.06.01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ТЕХНОСФЕРНАЯ БЕЗОПАСНОСТЬ (УРОВЕНЬ ПОДГОТОВКИ КАДРОВ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ВЫСШЕЙ КВАЛИФИКАЦИИ)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hyperlink r:id="rId4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подпунктом 5.2.41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N 27, ст. 3776), и </w:t>
      </w:r>
      <w:hyperlink r:id="rId5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пунктом 17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1. Утвердить прилагаемый федеральный государственный образовательный </w:t>
      </w:r>
      <w:hyperlink r:id="rId6" w:anchor="p33" w:tooltip="Ссылка на текущий документ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стандарт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 высшего образования по направлению подготовки 20.06.01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Техносферная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безопасность (уровень подготовки кадров высшей квалификации).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2. Настоящий приказ вступает в силу с 1 сентября 2014 года.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Министр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Д.В.ЛИВАНОВ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Утвержден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приказом Министерства образования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и науки Российской Федерации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от 30 июля 2014 г. N 885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ФЕДЕРАЛЬНЫЙ ГОСУДАРСТВЕННЫЙ ОБРАЗОВАТЕЛЬНЫЙ СТАНДАРТ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ВЫСШЕГО ОБРАЗОВАНИЯ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УРОВЕНЬ ВЫСШЕГО ОБРАЗОВАНИЯ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ПОДГОТОВКА КАДРОВ ВЫСШЕЙ КВАЛИФИКАЦИИ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br/>
        <w:t>НАПРАВЛЕНИЕ ПОДГОТОВКИ</w:t>
      </w:r>
      <w:r w:rsidRPr="00F839F7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br/>
        <w:t>20.06.01 ТЕХНОСФЕРНАЯ БЕЗОПАСНОСТЬ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I. ОБЛАСТЬ ПРИМЕНЕНИЯ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20.06.01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Техносферная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безопасность (далее соответственно - программа аспирантуры, направление подготовки).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II. ИСПОЛЬЗУЕМЫЕ СОКРАЩЕНИЯ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 настоящем федеральном государственном образовательном стандарте используются следующие сокращения: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- высшее образование;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УК - универсальные компетенции;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ОПК -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ПК - профессиональные компетенции;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ФГОС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- федеральный государственный образовательный стандарт высшего образования;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сетевая форма - сетевая форма реализации образовательных программ.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III. ХАРАКТЕРИСТИКА НАПРАВЛЕНИЯ ПОДГОТОВКИ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программы аспирантуры составляет 240 зачетных единиц (далее -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3.3. Срок получения образования по программе аспирантуры: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.;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при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обучении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обучении по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индивидуальному плану не может составлять более 75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з.е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. за один учебный год.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3.5. Реализация программы аспирантуры возможна с использованием сетевой формы.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IV. ХАРАКТЕРИСТИКА ПРОФЕССИОНАЛЬНОЙ ДЕЯТЕЛЬНОСТИ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ВЫПУСКНИКОВ, ОСВОИВШИХ ПРОГРАММУ АСПИРАНТУРЫ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4.1. Область профессиональной деятельности выпускников, освоивших программу аспирантуры, включает: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обеспечение безопасности человека в современном мире;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комфортной для жизни и деятельности человека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техносферы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минимизация техногенного воздействия на природную среду;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сохранение жизни и здоровья человека за счет использования современных технических средств, методов контроля и прогнозирования.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4.2. Объектами профессиональной деятельности выпускников, освоивших программу аспирантуры, являются: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человек и опасности, связанные с его деятельностью;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опасности среды обитания, связанные с деятельностью человека;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опасности среды обитания, связанные с опасными природными явлениями;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опасные технологические процессы и производства;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методы и средства оценки опасностей, риска;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методы и средства защиты человека и среды обитания от опасностей;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методы, средства и силы спасения человека.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4.3. Виды профессиональной деятельности, к которым готовятся выпускники, освоившие программу аспирантуры: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научно-исследовательская деятельность в области экологической и промышленной безопасности, безопасности труда, защиты человека и природной среды в условиях чрезвычайных ситуаций;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анализа, оценки и прогнозирования техногенных и природных рисков;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преподавательская деятельность по образовательным программам высшего образования.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V. ТРЕБОВАНИЯ К РЕЗУЛЬТАТАМ ОСВОЕНИЯ ПРОГРАММЫ АСПИРАНТУРЫ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5.1. В результате освоения программы аспирантуры у выпускника должны быть сформированы: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универсальные компетенции, не зависящие от конкретного направления подготовки;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компетенции, определяемые направлением подготовки;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5.2. Выпускник, освоивший программу аспирантуры, должен обладать следующими универсальными компетенциями: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способностью следовать этическим нормам в профессиональной деятельности (УК-5);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способностью планировать и решать задачи собственного профессионального и личностного развития (УК-6).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5.3. Выпускник, освоивший программу аспирантуры, должен обладать следующими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общепрофессиональными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компетенциями: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владением методологией теоретических и экспериментальных исследований в сфере и по проблемам обеспечения экологической и промышленной безопасности, мониторинга и контроля среды обитания человека (ОПК-1);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владением культурой научного исследования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человекоразмерных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на основе использования принципов синергетики и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трансдисциплинарных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технологий, в том числе с использованием новейших информационно-коммуникационных технологий и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геоинформационных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 (ОПК-2);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способностью к разработке методов исследования и их применению в самостоятельной научно-исследовательской работе в сфере обеспечения безопасности с учетом правил соблюдения авторских прав (ОПК-3);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готовностью организовать работу исследовательского коллектива в сфере обеспечения экологической и промышленной безопасности, безопасности труда, защиты в чрезвычайных ситуациях, по проблемам прогнозирования рисков и новых технологий мониторинга техногенных опасностей (ОПК-4);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разработке программы аспирантуры все универсальные и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общепрофессиональные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компетенции включаются в набор требуемых результатов освоения программы аспирантуры.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7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Подпункт 5.2.73(3)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N 27, ст. 3776).</w:t>
      </w:r>
      <w:proofErr w:type="gramEnd"/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VI. ТРЕБОВАНИЯ К СТРУКТУРЕ ПРОГРАММЫ АСПИРАНТУРЫ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</w:t>
      </w: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6.2. Программа аспирантуры состоит из следующих блоков: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1. "Дисциплины (модули)",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2. "Практики",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Блок 3. "Научно-исследовательская работа",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относится к вариативной части программы.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Структура программы аспирантуры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Таблица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1"/>
        <w:gridCol w:w="2444"/>
      </w:tblGrid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элемента программы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(в </w:t>
            </w:r>
            <w:proofErr w:type="spellStart"/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</w:t>
            </w:r>
            <w:proofErr w:type="spellEnd"/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1 "Дисциплины (модули)"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часть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39F7" w:rsidRPr="00F839F7" w:rsidRDefault="00F839F7" w:rsidP="00F8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2 "Практики"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39F7" w:rsidRPr="00F839F7" w:rsidRDefault="00F839F7" w:rsidP="00F8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39F7" w:rsidRPr="00F839F7" w:rsidRDefault="00F839F7" w:rsidP="00F8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39F7" w:rsidRPr="00F839F7" w:rsidRDefault="00F839F7" w:rsidP="00F8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4 "Государственная итоговая аттестация"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Базовая часть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839F7" w:rsidRPr="00F839F7" w:rsidRDefault="00F839F7" w:rsidP="00F8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839F7" w:rsidRPr="00F839F7" w:rsidTr="00F839F7">
        <w:tc>
          <w:tcPr>
            <w:tcW w:w="8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программы аспирантуры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839F7" w:rsidRPr="00F839F7" w:rsidRDefault="00F839F7" w:rsidP="00F839F7">
            <w:pPr>
              <w:spacing w:before="136" w:after="1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9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</w:tbl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8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3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 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Педагогическая практика является обязательной.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Способы проведения практики: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стационарная;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выездная.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Практика может проводиться в структурных подразделениях организации.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экзамена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VII. ТРЕБОВАНИЯ К УСЛОВИЯМ РЕАЛИЗАЦИИ ПРОГРАММЫ АСПИРАНТУРЫ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7.1. Общесистемные требования к реализации программы аспирантуры.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7.1.1.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</w:t>
      </w: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вне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Электронная информационно-образовательная среда организации должна обеспечивать: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электронного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портфолио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&lt;1&gt; Федеральный </w:t>
      </w:r>
      <w:hyperlink r:id="rId9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N 23, ст. 2870; N 27, ст. 3479; N 52, ст. 6961; N 52, ст. 6963), Федеральный </w:t>
      </w:r>
      <w:hyperlink r:id="rId10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закон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 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N 31, ст. 4173; N 31, ст. 4196; N 49, ст. 6409; 2011, N 23, ст. 3263; N 31, ст. 4701; 2013, N 14, ст. 1651; N 30, ст. 4038; N 51, ст. 6683).</w:t>
      </w:r>
      <w:proofErr w:type="gramEnd"/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7.1.5.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 </w:t>
      </w:r>
      <w:hyperlink r:id="rId11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справочнике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 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20237), и профессиональным стандартам (при наличии).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7.1.7.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Web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Science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Scopus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 </w:t>
      </w:r>
      <w:hyperlink r:id="rId12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пункту 12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 Положения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--------------------------------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&lt;1&gt; </w:t>
      </w:r>
      <w:hyperlink r:id="rId13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Пункт 4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 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7.2. Требования к кадровым условиям реализации программы аспирантуры.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7.2.2.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7.2.3.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7.3. Требования к материально-техническому и учебно-методическому обеспечению программы аспирантуры.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обучающимся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осваивать умения и навыки, предусмотренные профессиональной деятельностью.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7.3.4.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F839F7" w:rsidRPr="00F839F7" w:rsidRDefault="00F839F7" w:rsidP="00F839F7">
      <w:pPr>
        <w:shd w:val="clear" w:color="auto" w:fill="FFFFFF"/>
        <w:spacing w:before="136" w:after="13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7.4. Требования к финансовому обеспечению программы аспирантуры.</w:t>
      </w:r>
    </w:p>
    <w:p w:rsidR="00F839F7" w:rsidRPr="00F839F7" w:rsidRDefault="00F839F7" w:rsidP="00F83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7.4.1.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 </w:t>
      </w:r>
      <w:hyperlink r:id="rId14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Методикой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> 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28398F" w:rsidRPr="00F839F7" w:rsidRDefault="00F839F7" w:rsidP="00F839F7">
      <w:pPr>
        <w:jc w:val="both"/>
        <w:rPr>
          <w:rFonts w:ascii="Times New Roman" w:hAnsi="Times New Roman" w:cs="Times New Roman"/>
        </w:rPr>
      </w:pP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br/>
      </w:r>
      <w:hyperlink r:id="rId15" w:history="1">
        <w:r w:rsidRPr="00F839F7">
          <w:rPr>
            <w:rFonts w:ascii="Times New Roman" w:eastAsia="Times New Roman" w:hAnsi="Times New Roman" w:cs="Times New Roman"/>
            <w:color w:val="666699"/>
            <w:u w:val="single"/>
            <w:lang w:eastAsia="ru-RU"/>
          </w:rPr>
          <w:t>http://www.consultant.ru/document/cons_doc_LAW_167997/</w:t>
        </w:r>
      </w:hyperlink>
      <w:r w:rsidRPr="00F839F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39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© 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КонсультантПлюс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1992-2014</w:t>
      </w:r>
    </w:p>
    <w:sectPr w:rsidR="0028398F" w:rsidRPr="00F839F7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39F7"/>
    <w:rsid w:val="0028398F"/>
    <w:rsid w:val="00A424B2"/>
    <w:rsid w:val="00F8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2">
    <w:name w:val="heading 2"/>
    <w:basedOn w:val="a"/>
    <w:link w:val="20"/>
    <w:uiPriority w:val="9"/>
    <w:qFormat/>
    <w:rsid w:val="00F83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9F7"/>
  </w:style>
  <w:style w:type="character" w:styleId="a4">
    <w:name w:val="Hyperlink"/>
    <w:basedOn w:val="a0"/>
    <w:uiPriority w:val="99"/>
    <w:semiHidden/>
    <w:unhideWhenUsed/>
    <w:rsid w:val="00F83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42/?dst=100030" TargetMode="External"/><Relationship Id="rId13" Type="http://schemas.openxmlformats.org/officeDocument/2006/relationships/hyperlink" Target="http://www.consultant.ru/document/cons_doc_LAW_150568/?dst=1000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5249/?dst=100200" TargetMode="External"/><Relationship Id="rId12" Type="http://schemas.openxmlformats.org/officeDocument/2006/relationships/hyperlink" Target="http://www.consultant.ru/document/cons_doc_LAW_166742/?dst=1000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7997/" TargetMode="External"/><Relationship Id="rId11" Type="http://schemas.openxmlformats.org/officeDocument/2006/relationships/hyperlink" Target="http://www.consultant.ru/document/cons_doc_LAW_112416/?dst=100009" TargetMode="External"/><Relationship Id="rId5" Type="http://schemas.openxmlformats.org/officeDocument/2006/relationships/hyperlink" Target="http://www.consultant.ru/document/cons_doc_LAW_150567/?dst=100042" TargetMode="External"/><Relationship Id="rId15" Type="http://schemas.openxmlformats.org/officeDocument/2006/relationships/hyperlink" Target="http://www.consultant.ru/document/cons_doc_LAW_167997/" TargetMode="External"/><Relationship Id="rId10" Type="http://schemas.openxmlformats.org/officeDocument/2006/relationships/hyperlink" Target="http://www.consultant.ru/document/cons_doc_LAW_163964/" TargetMode="External"/><Relationship Id="rId4" Type="http://schemas.openxmlformats.org/officeDocument/2006/relationships/hyperlink" Target="http://www.consultant.ru/document/cons_doc_LAW_165249/?dst=100061" TargetMode="External"/><Relationship Id="rId9" Type="http://schemas.openxmlformats.org/officeDocument/2006/relationships/hyperlink" Target="http://www.consultant.ru/document/cons_doc_LAW_165971/" TargetMode="External"/><Relationship Id="rId14" Type="http://schemas.openxmlformats.org/officeDocument/2006/relationships/hyperlink" Target="http://www.consultant.ru/document/cons_doc_LAW_152100/?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3894</Words>
  <Characters>22200</Characters>
  <Application>Microsoft Office Word</Application>
  <DocSecurity>0</DocSecurity>
  <Lines>185</Lines>
  <Paragraphs>52</Paragraphs>
  <ScaleCrop>false</ScaleCrop>
  <Company/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2014-09-10T05:46:00Z</dcterms:created>
  <dcterms:modified xsi:type="dcterms:W3CDTF">2014-09-10T05:47:00Z</dcterms:modified>
</cp:coreProperties>
</file>